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r7fccvbwru7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PARTE ESCRITA (7 puntos)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gkvv7ytbat3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Formato General (0,25 p.)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Requisitos:</w:t>
      </w:r>
      <w:r w:rsidDel="00000000" w:rsidR="00000000" w:rsidRPr="00000000">
        <w:rPr>
          <w:rtl w:val="0"/>
        </w:rPr>
        <w:t xml:space="preserve"> Documento en ODT, DOCX o PDF con márgenes justificados, portada, índice, bibliografía y estética cuidada.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0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Entrega Final:</w:t>
      </w:r>
      <w:r w:rsidDel="00000000" w:rsidR="00000000" w:rsidRPr="00000000">
        <w:rPr>
          <w:rtl w:val="0"/>
        </w:rPr>
        <w:t xml:space="preserve"> Se integra en la memoria final el </w:t>
      </w:r>
      <w:r w:rsidDel="00000000" w:rsidR="00000000" w:rsidRPr="00000000">
        <w:rPr>
          <w:b w:val="1"/>
          <w:bCs w:val="1"/>
          <w:rtl w:val="0"/>
        </w:rPr>
        <w:t xml:space="preserve">29/05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7vlvwr3sepbg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FASE 1: Inicio y Elección del Proyecto (24/02 – 06/03)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Entrega parcial: Guión de trabajo</w:t>
      </w:r>
      <w:r w:rsidDel="00000000" w:rsidR="00000000" w:rsidRPr="00000000">
        <w:rPr>
          <w:rtl w:val="0"/>
        </w:rPr>
        <w:t xml:space="preserve"> (incluye estructura, idea, colectivo y necesidades).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0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1. Introducción (0,25 p.):</w:t>
      </w:r>
      <w:r w:rsidDel="00000000" w:rsidR="00000000" w:rsidRPr="00000000">
        <w:rPr>
          <w:rtl w:val="0"/>
        </w:rPr>
        <w:t xml:space="preserve"> Presentación de la idea, contenido, población beneficiaria y resultados esperados.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20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4. Destinatarios (0,25 p.):</w:t>
      </w:r>
      <w:r w:rsidDel="00000000" w:rsidR="00000000" w:rsidRPr="00000000">
        <w:rPr>
          <w:rtl w:val="0"/>
        </w:rPr>
        <w:t xml:space="preserve"> Descripción de usuarias directas, personas relacionadas y sus necesidades.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lltjy9gkwm2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ec0a3quvdhfn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FASE 2: Diseño del Proyecto (07/03 – 27/03)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Entregas: Justificación completa, Objetivos y Estudio de viabilidad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2. Justificación (1,5 p.):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2.1. Contexto:</w:t>
      </w:r>
      <w:r w:rsidDel="00000000" w:rsidR="00000000" w:rsidRPr="00000000">
        <w:rPr>
          <w:rtl w:val="0"/>
        </w:rPr>
        <w:t xml:space="preserve"> Realidad social, técnicas de investigación y fuentes (INE, EUSTAT, etc.).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200" w:afterAutospacing="0" w:before="0" w:line="36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2.2. Justificación Teórica:</w:t>
      </w:r>
      <w:r w:rsidDel="00000000" w:rsidR="00000000" w:rsidRPr="00000000">
        <w:rPr>
          <w:rtl w:val="0"/>
        </w:rPr>
        <w:t xml:space="preserve"> Marco conceptual con autores reales y fuentes citadas.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20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3. Objetivos (1 p.):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3.1. Generales:</w:t>
      </w:r>
      <w:r w:rsidDel="00000000" w:rsidR="00000000" w:rsidRPr="00000000">
        <w:rPr>
          <w:rtl w:val="0"/>
        </w:rPr>
        <w:t xml:space="preserve"> En infinitivo y coherentes con las necesidades.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240" w:before="0" w:beforeAutospacing="0" w:line="36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3.2. Específicos:</w:t>
      </w:r>
      <w:r w:rsidDel="00000000" w:rsidR="00000000" w:rsidRPr="00000000">
        <w:rPr>
          <w:rtl w:val="0"/>
        </w:rPr>
        <w:t xml:space="preserve"> Con verbos de acción y relacionados con los generales.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15gzty2gorht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FASE 3: Planificación de la Ejecución (01/04 – 19/04)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Entregas: Plan de intervención completo, Cronograma y Documentación asociada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Nota: El 17/04 se realizará una revisión presencial DUAL del cronograma y plan de intervención.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0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5. Metodología y Organización (0,75 p. - Parte 1):</w:t>
      </w:r>
      <w:r w:rsidDel="00000000" w:rsidR="00000000" w:rsidRPr="00000000">
        <w:rPr>
          <w:rtl w:val="0"/>
        </w:rPr>
        <w:t xml:space="preserve"> Estilos metodológicos y coordinación del trabajo.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0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6. Actividades (1,5 p.):</w:t>
      </w:r>
      <w:r w:rsidDel="00000000" w:rsidR="00000000" w:rsidRPr="00000000">
        <w:rPr>
          <w:rtl w:val="0"/>
        </w:rPr>
        <w:t xml:space="preserve"> Mínimo de 4 actividades ordenadas, descritas y vinculadas a los objetivos. Deben incluir riesgos asociados.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7. Recursos (0,5 p.):</w:t>
      </w:r>
      <w:r w:rsidDel="00000000" w:rsidR="00000000" w:rsidRPr="00000000">
        <w:rPr>
          <w:rtl w:val="0"/>
        </w:rPr>
        <w:t xml:space="preserve"> Humanos, materiales (inventario y precio) y económicos (gastos de puesta en marcha).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8ey0ak3nv1h0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FASE 4: Seguimiento y Control (22/04 – 10/05)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Entregas: Plan de seguimiento y evaluación, y Anexos de evaluación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afterAutospacing="0" w:before="24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8. Evaluación (1 p.):</w:t>
      </w:r>
      <w:r w:rsidDel="00000000" w:rsidR="00000000" w:rsidRPr="00000000">
        <w:rPr>
          <w:rtl w:val="0"/>
        </w:rPr>
        <w:t xml:space="preserve"> Identificación de indicadores medibles para cada objetivo e instrumentos de evaluación.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200" w:beforeAutospacing="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5. Documentación (0,75 p. - Parte 2):</w:t>
      </w:r>
      <w:r w:rsidDel="00000000" w:rsidR="00000000" w:rsidRPr="00000000">
        <w:rPr>
          <w:rtl w:val="0"/>
        </w:rPr>
        <w:t xml:space="preserve"> Procedimientos de control, hojas de registro de incidencias, permisos y fichas de participación.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o3nog5xgnn0w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FASE 5: Cierre y Defensa (13/05 – 29/05)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Entrega Final: Memoria escrita (7 p.) y Presentación oral (3 p.)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Presentación Oral (3 p.):</w:t>
      </w:r>
      <w:r w:rsidDel="00000000" w:rsidR="00000000" w:rsidRPr="00000000">
        <w:rPr>
          <w:rtl w:val="0"/>
        </w:rPr>
        <w:t xml:space="preserve"> Defensa obligatoria el </w:t>
      </w:r>
      <w:r w:rsidDel="00000000" w:rsidR="00000000" w:rsidRPr="00000000">
        <w:rPr>
          <w:b w:val="1"/>
          <w:bCs w:val="1"/>
          <w:rtl w:val="0"/>
        </w:rPr>
        <w:t xml:space="preserve">29/05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24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Duración: 15 minutos de exposición + 5 minutos de preparación.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240" w:before="0" w:beforeAutospacing="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Criterios: Uso de TICs, participación de todos los miembros y comunicación adecuada.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